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6" w:rsidRDefault="007E3816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53"/>
        <w:gridCol w:w="7378"/>
        <w:gridCol w:w="1753"/>
        <w:gridCol w:w="2204"/>
      </w:tblGrid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УТВЕРЖДАЮ</w:t>
            </w:r>
          </w:p>
        </w:tc>
      </w:tr>
      <w:tr w:rsidR="007E3816">
        <w:trPr>
          <w:trHeight w:val="570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526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7E3816">
        <w:trPr>
          <w:trHeight w:val="558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(подпись)         (расшифровка подписи)</w:t>
            </w:r>
          </w:p>
        </w:tc>
      </w:tr>
      <w:tr w:rsidR="007E3816">
        <w:trPr>
          <w:trHeight w:val="494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"___" ____________ 20___г.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на 2023 год и на плановый период 2024 и 2025 годов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КОДЫ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18.01.2023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1195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Наименование </w:t>
            </w:r>
          </w:p>
          <w:p w:rsidR="007E3816" w:rsidRDefault="00D04EA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государственного</w:t>
            </w:r>
          </w:p>
          <w:p w:rsidR="007E3816" w:rsidRDefault="00D04EA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бюджетного (автономного) </w:t>
            </w:r>
          </w:p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учреждения (подразделения)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государственное бюджетное учреждение Брянской области "Управление ветеринарии города Брянска"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right"/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3250057252/325701001</w:t>
            </w:r>
          </w:p>
        </w:tc>
      </w:tr>
      <w:tr w:rsidR="007E3816">
        <w:trPr>
          <w:trHeight w:val="575"/>
          <w:tblHeader/>
        </w:trPr>
        <w:tc>
          <w:tcPr>
            <w:tcW w:w="43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Код по сводному реестру участников бюджетного процесса, </w:t>
            </w:r>
          </w:p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 так же юридических лиц, не являющихся участниками бюджетного 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00398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383</w:t>
            </w:r>
          </w:p>
        </w:tc>
      </w:tr>
      <w:tr w:rsidR="007E3816"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</w:rPr>
            </w:pPr>
          </w:p>
        </w:tc>
      </w:tr>
      <w:tr w:rsidR="007E3816">
        <w:trPr>
          <w:trHeight w:val="396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Наименование исполнительного органа государственной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власти, осуществляющего функции и полномочия учредителя (отраслевой орган): управление ветеринарии Брянской области</w:t>
            </w:r>
          </w:p>
        </w:tc>
      </w:tr>
      <w:tr w:rsidR="007E3816">
        <w:trPr>
          <w:trHeight w:val="444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D04EA3"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Адрес фактического местонахождения государственного бюджетного (автономного) учреждения (подразделения): 241007, г. Брянск, ул. Вали Сафрон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овой, д. 89</w:t>
            </w:r>
          </w:p>
        </w:tc>
      </w:tr>
    </w:tbl>
    <w:p w:rsidR="007E3816" w:rsidRDefault="007E3816">
      <w:pPr>
        <w:rPr>
          <w:rFonts w:ascii="Arial" w:hAnsi="Arial" w:cs="Arial"/>
        </w:rPr>
      </w:pPr>
    </w:p>
    <w:p w:rsidR="007E3816" w:rsidRDefault="00D04EA3">
      <w:pPr>
        <w:framePr w:w="16" w:h="988" w:wrap="auto" w:hAnchor="text" w:x="1"/>
        <w:rPr>
          <w:rFonts w:ascii="Arial" w:hAnsi="Arial" w:cs="Arial"/>
        </w:rPr>
      </w:pPr>
      <w:r>
        <w:rPr>
          <w:rFonts w:ascii="Arial" w:hAnsi="Arial" w:cs="Arial"/>
          <w:color w:val="FFFFFF"/>
          <w:sz w:val="20"/>
          <w:szCs w:val="20"/>
        </w:rPr>
        <w:lastRenderedPageBreak/>
        <w:t xml:space="preserve"> </w:t>
      </w:r>
    </w:p>
    <w:p w:rsidR="007E3816" w:rsidRDefault="00D04EA3">
      <w:pPr>
        <w:rPr>
          <w:rFonts w:ascii="Arial" w:hAnsi="Arial" w:cs="Arial"/>
          <w:sz w:val="8"/>
          <w:szCs w:val="8"/>
        </w:rPr>
      </w:pPr>
      <w:r>
        <w:rPr>
          <w:noProof/>
        </w:rPr>
        <w:drawing>
          <wp:inline distT="0" distB="0" distL="0" distR="0">
            <wp:extent cx="2110740" cy="62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8"/>
          <w:szCs w:val="8"/>
        </w:rPr>
        <w:br/>
      </w:r>
    </w:p>
    <w:p w:rsidR="007E3816" w:rsidRDefault="00D04EA3">
      <w:pPr>
        <w:framePr w:w="16" w:h="988" w:wrap="auto" w:hAnchor="text" w:x="1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7E3816" w:rsidRDefault="00D04EA3">
      <w:pPr>
        <w:rPr>
          <w:rFonts w:ascii="Arial" w:hAnsi="Arial" w:cs="Arial"/>
          <w:sz w:val="8"/>
          <w:szCs w:val="8"/>
        </w:rPr>
      </w:pPr>
      <w:r>
        <w:rPr>
          <w:noProof/>
        </w:rPr>
        <w:drawing>
          <wp:inline distT="0" distB="0" distL="0" distR="0">
            <wp:extent cx="2110740" cy="62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3816" w:rsidRDefault="007E3816">
      <w:pPr>
        <w:rPr>
          <w:rFonts w:ascii="Arial" w:hAnsi="Arial" w:cs="Arial"/>
          <w:sz w:val="8"/>
          <w:szCs w:val="8"/>
        </w:rPr>
      </w:pPr>
    </w:p>
    <w:p w:rsidR="007E3816" w:rsidRDefault="007E3816">
      <w:pPr>
        <w:pageBreakBefore/>
        <w:rPr>
          <w:rFonts w:ascii="Arial" w:hAnsi="Arial" w:cs="Arial"/>
          <w:sz w:val="8"/>
          <w:szCs w:val="8"/>
        </w:rPr>
      </w:pPr>
    </w:p>
    <w:p w:rsidR="007E3816" w:rsidRDefault="007E381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80"/>
        <w:gridCol w:w="1004"/>
        <w:gridCol w:w="2518"/>
        <w:gridCol w:w="1636"/>
        <w:gridCol w:w="1799"/>
        <w:gridCol w:w="1813"/>
        <w:gridCol w:w="1755"/>
        <w:gridCol w:w="1337"/>
      </w:tblGrid>
      <w:tr w:rsidR="007E3816">
        <w:trPr>
          <w:trHeight w:val="332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 w:rsidR="007E3816">
        <w:trPr>
          <w:trHeight w:val="287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115"/>
        </w:trPr>
        <w:tc>
          <w:tcPr>
            <w:tcW w:w="3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 w:rsidR="007E3816">
        <w:trPr>
          <w:trHeight w:val="1842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2023 г. </w:t>
            </w:r>
          </w:p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 2024 г. </w:t>
            </w:r>
          </w:p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первый плановый период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</w:t>
            </w:r>
          </w:p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второй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7E3816">
        <w:trPr>
          <w:trHeight w:val="354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Остаток средств на начало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0001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3 119 466,42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Остаток средств на конец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0002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Доходы, всего: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1000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 xml:space="preserve">67 888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428,80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66 612 258,28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66 612 258,28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доходы от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1100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1200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66 997 148,80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66 612 258,28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66 612 258,28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доходы от поступления субсидии на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19 997 148,80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19 612 258,28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19 612 258,28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доходы от оказания услуг, выполнения работ за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плату сверх установленного государственного (муниципального) задания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доходы от оказания платных услуг, выполнения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47 000 000,00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47 000 000,00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47 000 000,00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 xml:space="preserve">доходы от штрафов, пеней, иных сумм принудительного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изъятия,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1300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безвозмездные денежные поступления,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1400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891 280,00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целевые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891 280,00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прочие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прочие доходы,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1500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доходы от операций с активами,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1900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 xml:space="preserve">прочие поступления,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1980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остатков денежных средств за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счет возврата дебиторской задолженности прошлых лет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Уменьшение стоимости непроизведенных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Расходы,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2000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63 907 895,22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59 612 258,28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59 612 258,28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на выплаты персоналу,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2100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50 690 471,53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50 460 000,00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50 460 000,00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38 632 189,35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38 400 000,00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38 400 000,00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прочие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персоналу, в том числе компенсационного характера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505 393,00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взносы по обязательному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11 552 889,18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11 520 000,00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11 520 000,00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социальные и иные выплаты населению,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2200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социальные выплаты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гражданам, кроме публичных нормативных социальных выплат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уплата налогов, сборов и иных платежей,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2300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377 596,72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450 000,00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450 000,00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364 390,00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иные налоги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13 206,72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2400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платежи в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2500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исполнение судебных актов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 xml:space="preserve">расходы на закупку товаров, работ, услуг,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2600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12 839 826,97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8 702 258,28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E4C4"/>
              </w:rPr>
              <w:t>8 702 258,28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закупку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научно-исследовательских и опытно-конструкторских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закупку товаров, работ, услуг в целях капитального ремонта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1 818 150,00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9 971 485,10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7 521 138,28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7 521 138,28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в области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геодезии и картографии вне рамок государственного оборонного заказа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1 050 191,87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1 181 120,00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1 181 120,00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приобретение объектов недвижимого имущества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Выплаты, уменьшающие доход,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3000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 xml:space="preserve">-7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100 000,00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-7 000 000,00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-7 000 000,00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-600 000,00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-6 500 000,00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-6 400 000,00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-6 400 000,00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Прочие выплаты,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4000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C7FCEC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3816">
        <w:trPr>
          <w:trHeight w:val="34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E3816" w:rsidRDefault="007E3816">
      <w:pPr>
        <w:rPr>
          <w:rFonts w:ascii="Arial" w:hAnsi="Arial" w:cs="Arial"/>
          <w:sz w:val="8"/>
          <w:szCs w:val="8"/>
        </w:rPr>
      </w:pPr>
    </w:p>
    <w:p w:rsidR="007E3816" w:rsidRDefault="00D04EA3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7E3816" w:rsidRDefault="007E3816">
      <w:pPr>
        <w:pageBreakBefore/>
        <w:rPr>
          <w:rFonts w:ascii="Arial" w:hAnsi="Arial" w:cs="Arial"/>
          <w:sz w:val="8"/>
          <w:szCs w:val="8"/>
        </w:rPr>
      </w:pPr>
    </w:p>
    <w:p w:rsidR="007E3816" w:rsidRDefault="007E3816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4"/>
        <w:gridCol w:w="914"/>
        <w:gridCol w:w="990"/>
        <w:gridCol w:w="1271"/>
        <w:gridCol w:w="1767"/>
        <w:gridCol w:w="1849"/>
        <w:gridCol w:w="1719"/>
        <w:gridCol w:w="1733"/>
      </w:tblGrid>
      <w:tr w:rsidR="007E3816">
        <w:trPr>
          <w:trHeight w:val="392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7E3816">
        <w:trPr>
          <w:trHeight w:val="287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115"/>
        </w:trPr>
        <w:tc>
          <w:tcPr>
            <w:tcW w:w="53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Код по бюджетной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классификации Российской Федерации</w:t>
            </w:r>
          </w:p>
        </w:tc>
        <w:tc>
          <w:tcPr>
            <w:tcW w:w="1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Сумма</w:t>
            </w:r>
          </w:p>
        </w:tc>
      </w:tr>
      <w:tr w:rsidR="007E3816">
        <w:trPr>
          <w:trHeight w:val="1571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2023 г. (текущий финансовый год)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2024 г. (первый год планового периода)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г. (второй год планового периода)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7E3816"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 xml:space="preserve">Выплаты на закупку товаров, работ,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>услуг, всего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>12 839 826,97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>8 702 258,28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C7FCEC"/>
              </w:rPr>
              <w:t>8 702 258,28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по контрактам (договорам), планируемым к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по контрактам (договорам), заключенным до начала текущего финансового года с учетом требований Федерального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 xml:space="preserve">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lastRenderedPageBreak/>
              <w:t xml:space="preserve">по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12 839 826,97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8 702 258,28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8 702 258,28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за счет субсидий, предоставляемых на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финансовое обеспечение выполнения государственного (муниципального) задания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1 154 473,55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1 154 473,55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Учреждения, 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оказывающие услуги в сфере ветеринарии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1740610280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1 154 473,55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за счет субсидий, предоставляемых в соответствии с абзацем вторым пункта 1 статьи 78.1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Бюджетного кодекса Российской Федерации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3 226 072,31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3 226 072,31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Учреждения, оказывающие услуги в сфере ветеринарии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1740610280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3 226 072,31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соответствии с 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8 459 281,11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Федеральным законом N 44-ФЗ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8 459 281,11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 xml:space="preserve">Итого по контрактам, планируемым к заключению в соответствующем финансовом году в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соответствии с Федеральным законом N 44-ФЗ, по соответствующему году закупки &lt;16&gt;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4 380 545,86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1 412 258,28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1 412 258,28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4 380 545,86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1 412 258,28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346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lastRenderedPageBreak/>
              <w:t xml:space="preserve">Итого по договорам, планируемым к заключению в соответствующем финансовом году в соответствии с Федеральным законом N 223-ФЗ, по соответствующему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году закупки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8 459 281,11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7 290 000,00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E4C4"/>
              </w:rPr>
              <w:t>7 290 000,00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8 459 281,11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3816"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26630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D04EA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7 290 000,00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816" w:rsidRDefault="007E3816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E3816" w:rsidRDefault="007E3816">
      <w:pPr>
        <w:rPr>
          <w:rFonts w:ascii="Arial" w:hAnsi="Arial" w:cs="Arial"/>
          <w:sz w:val="8"/>
          <w:szCs w:val="8"/>
        </w:rPr>
      </w:pPr>
    </w:p>
    <w:p w:rsidR="007E3816" w:rsidRDefault="00D04EA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3"/>
        <w:gridCol w:w="2425"/>
        <w:gridCol w:w="430"/>
        <w:gridCol w:w="3530"/>
      </w:tblGrid>
      <w:tr w:rsidR="007E3816"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816" w:rsidRDefault="007E381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E3816" w:rsidRDefault="007E3816">
      <w:pPr>
        <w:rPr>
          <w:rFonts w:ascii="Arial" w:hAnsi="Arial" w:cs="Arial"/>
          <w:sz w:val="8"/>
          <w:szCs w:val="8"/>
        </w:rPr>
      </w:pPr>
    </w:p>
    <w:sectPr w:rsidR="007E3816">
      <w:footerReference w:type="default" r:id="rId9"/>
      <w:pgSz w:w="16901" w:h="11950" w:orient="landscape"/>
      <w:pgMar w:top="567" w:right="567" w:bottom="567" w:left="567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A3" w:rsidRDefault="00D04EA3">
      <w:r>
        <w:separator/>
      </w:r>
    </w:p>
  </w:endnote>
  <w:endnote w:type="continuationSeparator" w:id="0">
    <w:p w:rsidR="00D04EA3" w:rsidRDefault="00D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16" w:rsidRDefault="00D04EA3">
    <w:pPr>
      <w:framePr w:w="4535" w:h="239" w:wrap="auto" w:hAnchor="text" w:x="200"/>
      <w:rPr>
        <w:rFonts w:ascii="Arial" w:hAnsi="Arial" w:cs="Arial"/>
      </w:rPr>
    </w:pP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PAGE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 w:rsidR="002C7AD4">
      <w:rPr>
        <w:rFonts w:ascii="Segoe UI" w:hAnsi="Segoe UI" w:cs="Segoe UI"/>
        <w:noProof/>
        <w:color w:val="000000"/>
        <w:sz w:val="20"/>
        <w:szCs w:val="20"/>
      </w:rPr>
      <w:t>3</w:t>
    </w:r>
    <w:r>
      <w:rPr>
        <w:rFonts w:ascii="Segoe UI" w:hAnsi="Segoe UI" w:cs="Segoe UI"/>
        <w:color w:val="000000"/>
        <w:sz w:val="20"/>
        <w:szCs w:val="20"/>
      </w:rPr>
      <w:fldChar w:fldCharType="end"/>
    </w:r>
    <w:r>
      <w:rPr>
        <w:rFonts w:ascii="Segoe UI" w:hAnsi="Segoe UI" w:cs="Segoe UI"/>
        <w:color w:val="000000"/>
        <w:sz w:val="20"/>
        <w:szCs w:val="20"/>
      </w:rPr>
      <w:t xml:space="preserve"> из </w:t>
    </w:r>
    <w:r>
      <w:rPr>
        <w:rFonts w:ascii="Segoe UI" w:hAnsi="Segoe UI" w:cs="Segoe UI"/>
        <w:color w:val="000000"/>
        <w:sz w:val="20"/>
        <w:szCs w:val="20"/>
      </w:rPr>
      <w:fldChar w:fldCharType="begin"/>
    </w:r>
    <w:r>
      <w:rPr>
        <w:rFonts w:ascii="Segoe UI" w:hAnsi="Segoe UI" w:cs="Segoe UI"/>
        <w:color w:val="000000"/>
        <w:sz w:val="20"/>
        <w:szCs w:val="20"/>
      </w:rPr>
      <w:instrText>NUMPAGES</w:instrText>
    </w:r>
    <w:r>
      <w:rPr>
        <w:rFonts w:ascii="Segoe UI" w:hAnsi="Segoe UI" w:cs="Segoe UI"/>
        <w:color w:val="000000"/>
        <w:sz w:val="20"/>
        <w:szCs w:val="20"/>
      </w:rPr>
      <w:fldChar w:fldCharType="separate"/>
    </w:r>
    <w:r w:rsidR="002C7AD4">
      <w:rPr>
        <w:rFonts w:ascii="Segoe UI" w:hAnsi="Segoe UI" w:cs="Segoe UI"/>
        <w:noProof/>
        <w:color w:val="000000"/>
        <w:sz w:val="20"/>
        <w:szCs w:val="20"/>
      </w:rPr>
      <w:t>10</w:t>
    </w:r>
    <w:r>
      <w:rPr>
        <w:rFonts w:ascii="Segoe UI" w:hAnsi="Segoe UI" w:cs="Segoe U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A3" w:rsidRDefault="00D04EA3">
      <w:r>
        <w:separator/>
      </w:r>
    </w:p>
  </w:footnote>
  <w:footnote w:type="continuationSeparator" w:id="0">
    <w:p w:rsidR="00D04EA3" w:rsidRDefault="00D0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16"/>
    <w:rsid w:val="002C7AD4"/>
    <w:rsid w:val="007E3816"/>
    <w:rsid w:val="00D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 20.11.2019 00:26:54; РР·РјРµРЅРµРЅ: keysystems 18.12.2020 16:52:36</dc:subject>
  <dc:creator>Keysystems.DWH2.ReportDesigner</dc:creator>
  <cp:lastModifiedBy>H68M-P</cp:lastModifiedBy>
  <cp:revision>2</cp:revision>
  <dcterms:created xsi:type="dcterms:W3CDTF">2023-02-14T13:06:00Z</dcterms:created>
  <dcterms:modified xsi:type="dcterms:W3CDTF">2023-02-14T13:06:00Z</dcterms:modified>
</cp:coreProperties>
</file>